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6210"/>
        <w:gridCol w:w="3571"/>
      </w:tblGrid>
      <w:tr w:rsidR="005B4F21" w:rsidRPr="005B4F21" w:rsidTr="00D13ECF">
        <w:trPr>
          <w:trHeight w:val="403"/>
        </w:trPr>
        <w:tc>
          <w:tcPr>
            <w:tcW w:w="6210" w:type="dxa"/>
          </w:tcPr>
          <w:p w:rsidR="005B4F21" w:rsidRPr="005B4F21" w:rsidRDefault="005B4F21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PT’S NAME-</w:t>
            </w:r>
          </w:p>
        </w:tc>
        <w:tc>
          <w:tcPr>
            <w:tcW w:w="3571" w:type="dxa"/>
          </w:tcPr>
          <w:p w:rsidR="005B4F21" w:rsidRPr="005B4F21" w:rsidRDefault="00984FE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SCAN NO:  </w:t>
            </w:r>
            <w:r w:rsidR="00A9260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F21" w:rsidRPr="005B4F21" w:rsidTr="00D13ECF">
        <w:trPr>
          <w:trHeight w:val="424"/>
        </w:trPr>
        <w:tc>
          <w:tcPr>
            <w:tcW w:w="6210" w:type="dxa"/>
          </w:tcPr>
          <w:p w:rsidR="005B4F21" w:rsidRPr="005B4F21" w:rsidRDefault="00EE2491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6544AD">
              <w:rPr>
                <w:b/>
                <w:bCs/>
                <w:sz w:val="24"/>
                <w:szCs w:val="24"/>
              </w:rPr>
              <w:t xml:space="preserve">     </w:t>
            </w:r>
            <w:r w:rsidR="005B4F21" w:rsidRPr="005B4F21">
              <w:rPr>
                <w:b/>
                <w:bCs/>
                <w:sz w:val="24"/>
                <w:szCs w:val="24"/>
              </w:rPr>
              <w:t>Y</w:t>
            </w:r>
            <w:r w:rsidR="00984FED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71" w:type="dxa"/>
          </w:tcPr>
          <w:p w:rsidR="005B4F21" w:rsidRPr="005B4F21" w:rsidRDefault="00984FED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DATE-</w:t>
            </w:r>
            <w:r w:rsidR="000561D8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61D8" w:rsidRPr="005B4F21" w:rsidTr="00D13ECF">
        <w:trPr>
          <w:trHeight w:val="424"/>
        </w:trPr>
        <w:tc>
          <w:tcPr>
            <w:tcW w:w="6210" w:type="dxa"/>
          </w:tcPr>
          <w:p w:rsidR="000561D8" w:rsidRDefault="006544A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3571" w:type="dxa"/>
          </w:tcPr>
          <w:p w:rsidR="000561D8" w:rsidRDefault="00D13ECF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MRD-</w:t>
            </w:r>
          </w:p>
        </w:tc>
      </w:tr>
    </w:tbl>
    <w:p w:rsidR="00362BBE" w:rsidRPr="00846DE5" w:rsidRDefault="00F96C2F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 CORONARY ANGIOGRAM</w:t>
      </w:r>
    </w:p>
    <w:p w:rsidR="005B4F21" w:rsidRDefault="00984FED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proofErr w:type="gramStart"/>
      <w:r>
        <w:rPr>
          <w:b/>
          <w:bCs/>
          <w:sz w:val="24"/>
          <w:szCs w:val="24"/>
        </w:rPr>
        <w:t>profile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3A4963" w:rsidRDefault="003A4963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 resolution ECG synchronized multi slice computed tomography angiography of coronary arteries was performed following intravenous injection of </w:t>
      </w:r>
      <w:proofErr w:type="spellStart"/>
      <w:r>
        <w:rPr>
          <w:b/>
          <w:bCs/>
          <w:sz w:val="24"/>
          <w:szCs w:val="24"/>
        </w:rPr>
        <w:t>non ionic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contrast.Calcium</w:t>
      </w:r>
      <w:proofErr w:type="spellEnd"/>
      <w:proofErr w:type="gramEnd"/>
      <w:r>
        <w:rPr>
          <w:b/>
          <w:bCs/>
          <w:sz w:val="24"/>
          <w:szCs w:val="24"/>
        </w:rPr>
        <w:t xml:space="preserve"> scoring  was performed .</w:t>
      </w:r>
    </w:p>
    <w:p w:rsidR="009D2690" w:rsidRDefault="009D2690" w:rsidP="00EE751C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9D2690">
        <w:rPr>
          <w:b/>
          <w:bCs/>
          <w:sz w:val="24"/>
          <w:szCs w:val="24"/>
          <w:u w:val="single"/>
        </w:rPr>
        <w:t>Calcium score:</w:t>
      </w:r>
    </w:p>
    <w:p w:rsidR="009D2690" w:rsidRPr="009D2690" w:rsidRDefault="009D2690" w:rsidP="00EE751C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Coronary calcification was </w:t>
      </w:r>
      <w:proofErr w:type="spellStart"/>
      <w:proofErr w:type="gramStart"/>
      <w:r>
        <w:rPr>
          <w:bCs/>
          <w:sz w:val="24"/>
          <w:szCs w:val="24"/>
        </w:rPr>
        <w:t>analysed.The</w:t>
      </w:r>
      <w:proofErr w:type="spellEnd"/>
      <w:proofErr w:type="gramEnd"/>
      <w:r>
        <w:rPr>
          <w:bCs/>
          <w:sz w:val="24"/>
          <w:szCs w:val="24"/>
        </w:rPr>
        <w:t xml:space="preserve"> threshold was kept at 130HU.These are the results of the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4963" w:rsidTr="003A4963">
        <w:tc>
          <w:tcPr>
            <w:tcW w:w="3192" w:type="dxa"/>
          </w:tcPr>
          <w:p w:rsidR="003A4963" w:rsidRDefault="003A4963" w:rsidP="003A496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ARTERY</w:t>
            </w:r>
          </w:p>
        </w:tc>
        <w:tc>
          <w:tcPr>
            <w:tcW w:w="3192" w:type="dxa"/>
          </w:tcPr>
          <w:p w:rsidR="003A4963" w:rsidRDefault="009D2690" w:rsidP="009D269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LESION</w:t>
            </w:r>
          </w:p>
        </w:tc>
        <w:tc>
          <w:tcPr>
            <w:tcW w:w="3192" w:type="dxa"/>
          </w:tcPr>
          <w:p w:rsidR="003A4963" w:rsidRDefault="009D2690" w:rsidP="009D269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CALCIUM SCORE</w:t>
            </w:r>
          </w:p>
        </w:tc>
      </w:tr>
      <w:tr w:rsidR="003A4963" w:rsidTr="003A4963"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A4963" w:rsidTr="003A4963"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LAD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A4963" w:rsidTr="003A4963"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LCX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A4963" w:rsidTr="003A4963"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RCA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A4963" w:rsidTr="003A4963"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TOTAL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3A4963" w:rsidRDefault="009D2690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D2690" w:rsidRDefault="009D2690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Coronary artery calcium score=0</w:t>
      </w:r>
    </w:p>
    <w:p w:rsidR="00984FED" w:rsidRDefault="009D2690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 NORMS FOR CALCIUM SCORE</w:t>
      </w:r>
      <w:r w:rsidR="003A4963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2690" w:rsidTr="009D2690">
        <w:tc>
          <w:tcPr>
            <w:tcW w:w="1915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IDENTIFIABLE CALCIFICATION</w:t>
            </w:r>
          </w:p>
        </w:tc>
        <w:tc>
          <w:tcPr>
            <w:tcW w:w="1915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MINIMAL IDENTIFIABLE CALCIFICATION</w:t>
            </w:r>
          </w:p>
        </w:tc>
        <w:tc>
          <w:tcPr>
            <w:tcW w:w="1915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MILD CALCIFICATION </w:t>
            </w:r>
          </w:p>
        </w:tc>
        <w:tc>
          <w:tcPr>
            <w:tcW w:w="1915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MODERATE CALCIFICATION</w:t>
            </w:r>
          </w:p>
        </w:tc>
        <w:tc>
          <w:tcPr>
            <w:tcW w:w="1916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SIGNIFICANT CALCIFICATION</w:t>
            </w:r>
          </w:p>
        </w:tc>
      </w:tr>
      <w:tr w:rsidR="009D2690" w:rsidTr="009D2690">
        <w:tc>
          <w:tcPr>
            <w:tcW w:w="1915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1-10</w:t>
            </w:r>
          </w:p>
        </w:tc>
        <w:tc>
          <w:tcPr>
            <w:tcW w:w="1915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11-100</w:t>
            </w:r>
          </w:p>
        </w:tc>
        <w:tc>
          <w:tcPr>
            <w:tcW w:w="1915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101-400</w:t>
            </w:r>
          </w:p>
        </w:tc>
        <w:tc>
          <w:tcPr>
            <w:tcW w:w="1916" w:type="dxa"/>
          </w:tcPr>
          <w:p w:rsidR="009D2690" w:rsidRDefault="005D0262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401&amp;ABOVE</w:t>
            </w:r>
          </w:p>
        </w:tc>
      </w:tr>
    </w:tbl>
    <w:p w:rsidR="009D2690" w:rsidRDefault="005D0262" w:rsidP="00EE751C">
      <w:pPr>
        <w:spacing w:after="120" w:line="240" w:lineRule="auto"/>
        <w:rPr>
          <w:bCs/>
          <w:sz w:val="24"/>
          <w:szCs w:val="24"/>
        </w:rPr>
      </w:pPr>
      <w:r w:rsidRPr="005D026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risk of coronary event is significantly higher when patient is in a higher percentile group for his age and sex and more so when he is above 75</w:t>
      </w:r>
      <w:r w:rsidRPr="005D026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percentile.</w:t>
      </w:r>
    </w:p>
    <w:p w:rsidR="005D0262" w:rsidRPr="005D0262" w:rsidRDefault="005D0262" w:rsidP="00EE751C">
      <w:pPr>
        <w:spacing w:after="120" w:line="240" w:lineRule="auto"/>
        <w:rPr>
          <w:bCs/>
          <w:sz w:val="24"/>
          <w:szCs w:val="24"/>
        </w:rPr>
      </w:pPr>
    </w:p>
    <w:p w:rsidR="007E629F" w:rsidRDefault="005D0262" w:rsidP="00EE751C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5D0262">
        <w:rPr>
          <w:b/>
          <w:bCs/>
          <w:sz w:val="24"/>
          <w:szCs w:val="24"/>
          <w:u w:val="single"/>
        </w:rPr>
        <w:t>Following are observations of coronary angiogram.</w:t>
      </w:r>
    </w:p>
    <w:p w:rsidR="005D0262" w:rsidRPr="005D0262" w:rsidRDefault="005D0262" w:rsidP="00EE751C">
      <w:pPr>
        <w:spacing w:after="12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Dominance: </w:t>
      </w:r>
      <w:r w:rsidRPr="005D0262">
        <w:rPr>
          <w:bCs/>
          <w:sz w:val="24"/>
          <w:szCs w:val="24"/>
        </w:rPr>
        <w:t>Right</w:t>
      </w:r>
    </w:p>
    <w:p w:rsidR="005D0262" w:rsidRDefault="005D0262" w:rsidP="00EE751C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Left main coronary artery:</w:t>
      </w:r>
    </w:p>
    <w:p w:rsidR="005D0262" w:rsidRDefault="005D0262" w:rsidP="00EE751C">
      <w:pPr>
        <w:spacing w:after="120" w:line="240" w:lineRule="auto"/>
        <w:rPr>
          <w:bCs/>
          <w:sz w:val="24"/>
          <w:szCs w:val="24"/>
        </w:rPr>
      </w:pPr>
      <w:r w:rsidRPr="005D0262">
        <w:rPr>
          <w:bCs/>
          <w:sz w:val="24"/>
          <w:szCs w:val="24"/>
        </w:rPr>
        <w:t xml:space="preserve">The vessel is well opacified and appears normal in </w:t>
      </w:r>
      <w:proofErr w:type="spellStart"/>
      <w:r w:rsidRPr="005D0262">
        <w:rPr>
          <w:bCs/>
          <w:sz w:val="24"/>
          <w:szCs w:val="24"/>
        </w:rPr>
        <w:t>couse</w:t>
      </w:r>
      <w:proofErr w:type="spellEnd"/>
      <w:r w:rsidRPr="005D0262">
        <w:rPr>
          <w:bCs/>
          <w:sz w:val="24"/>
          <w:szCs w:val="24"/>
        </w:rPr>
        <w:t xml:space="preserve"> and </w:t>
      </w:r>
      <w:proofErr w:type="spellStart"/>
      <w:r w:rsidRPr="005D0262">
        <w:rPr>
          <w:bCs/>
          <w:sz w:val="24"/>
          <w:szCs w:val="24"/>
        </w:rPr>
        <w:t>calibre</w:t>
      </w:r>
      <w:proofErr w:type="spellEnd"/>
      <w:r w:rsidRPr="005D0262">
        <w:rPr>
          <w:bCs/>
          <w:sz w:val="24"/>
          <w:szCs w:val="24"/>
        </w:rPr>
        <w:t>.</w:t>
      </w:r>
    </w:p>
    <w:p w:rsidR="005D0262" w:rsidRDefault="005D0262" w:rsidP="005D0262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Left anterior descending artery:</w:t>
      </w:r>
    </w:p>
    <w:p w:rsidR="005D0262" w:rsidRDefault="005D0262" w:rsidP="005D0262">
      <w:pPr>
        <w:spacing w:after="120" w:line="240" w:lineRule="auto"/>
        <w:rPr>
          <w:bCs/>
          <w:sz w:val="24"/>
          <w:szCs w:val="24"/>
        </w:rPr>
      </w:pPr>
      <w:r w:rsidRPr="005D0262">
        <w:rPr>
          <w:bCs/>
          <w:sz w:val="24"/>
          <w:szCs w:val="24"/>
        </w:rPr>
        <w:t xml:space="preserve">The vessel is well opacified and appears normal in </w:t>
      </w:r>
      <w:proofErr w:type="spellStart"/>
      <w:r w:rsidRPr="005D0262">
        <w:rPr>
          <w:bCs/>
          <w:sz w:val="24"/>
          <w:szCs w:val="24"/>
        </w:rPr>
        <w:t>couse</w:t>
      </w:r>
      <w:proofErr w:type="spellEnd"/>
      <w:r w:rsidRPr="005D0262">
        <w:rPr>
          <w:bCs/>
          <w:sz w:val="24"/>
          <w:szCs w:val="24"/>
        </w:rPr>
        <w:t xml:space="preserve"> and </w:t>
      </w:r>
      <w:proofErr w:type="spellStart"/>
      <w:r w:rsidRPr="005D0262">
        <w:rPr>
          <w:bCs/>
          <w:sz w:val="24"/>
          <w:szCs w:val="24"/>
        </w:rPr>
        <w:t>calibre</w:t>
      </w:r>
      <w:proofErr w:type="spellEnd"/>
      <w:r w:rsidRPr="005D0262">
        <w:rPr>
          <w:bCs/>
          <w:sz w:val="24"/>
          <w:szCs w:val="24"/>
        </w:rPr>
        <w:t>.</w:t>
      </w:r>
    </w:p>
    <w:p w:rsidR="005D0262" w:rsidRDefault="005D0262" w:rsidP="005D0262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Diagonals:</w:t>
      </w:r>
    </w:p>
    <w:p w:rsidR="005D0262" w:rsidRDefault="005D0262" w:rsidP="005D0262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EA2053">
        <w:rPr>
          <w:bCs/>
          <w:sz w:val="24"/>
          <w:szCs w:val="24"/>
        </w:rPr>
        <w:lastRenderedPageBreak/>
        <w:t xml:space="preserve">D1 is well </w:t>
      </w:r>
      <w:proofErr w:type="spellStart"/>
      <w:proofErr w:type="gramStart"/>
      <w:r w:rsidRPr="00EA2053">
        <w:rPr>
          <w:bCs/>
          <w:sz w:val="24"/>
          <w:szCs w:val="24"/>
        </w:rPr>
        <w:t>opacified.There</w:t>
      </w:r>
      <w:proofErr w:type="spellEnd"/>
      <w:proofErr w:type="gramEnd"/>
      <w:r w:rsidRPr="00EA2053">
        <w:rPr>
          <w:bCs/>
          <w:sz w:val="24"/>
          <w:szCs w:val="24"/>
        </w:rPr>
        <w:t xml:space="preserve"> is severe narrowing at the origin of D1</w:t>
      </w:r>
      <w:r w:rsidR="00EA2053">
        <w:rPr>
          <w:bCs/>
          <w:sz w:val="24"/>
          <w:szCs w:val="24"/>
        </w:rPr>
        <w:t>.</w:t>
      </w:r>
      <w:r w:rsidRPr="00EA2053">
        <w:rPr>
          <w:bCs/>
          <w:sz w:val="24"/>
          <w:szCs w:val="24"/>
        </w:rPr>
        <w:t>D2</w:t>
      </w:r>
      <w:r w:rsidR="00EA2053" w:rsidRPr="00EA2053">
        <w:rPr>
          <w:bCs/>
          <w:sz w:val="24"/>
          <w:szCs w:val="24"/>
        </w:rPr>
        <w:t xml:space="preserve"> and D3 are well opacified</w:t>
      </w:r>
      <w:r w:rsidR="00EA2053">
        <w:rPr>
          <w:bCs/>
          <w:sz w:val="24"/>
          <w:szCs w:val="24"/>
        </w:rPr>
        <w:t xml:space="preserve"> and appear normal.</w:t>
      </w:r>
      <w:r w:rsidR="00EA2053">
        <w:rPr>
          <w:b/>
          <w:bCs/>
          <w:sz w:val="24"/>
          <w:szCs w:val="24"/>
          <w:u w:val="single"/>
        </w:rPr>
        <w:t xml:space="preserve"> </w:t>
      </w:r>
    </w:p>
    <w:p w:rsidR="00EA2053" w:rsidRDefault="00EA2053" w:rsidP="005D0262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Circumflex Artery:</w:t>
      </w:r>
    </w:p>
    <w:p w:rsidR="00EA2053" w:rsidRDefault="00EA2053" w:rsidP="005D0262">
      <w:pPr>
        <w:spacing w:after="120" w:line="240" w:lineRule="auto"/>
        <w:rPr>
          <w:bCs/>
          <w:sz w:val="24"/>
          <w:szCs w:val="24"/>
        </w:rPr>
      </w:pPr>
      <w:r w:rsidRPr="00EA2053">
        <w:rPr>
          <w:bCs/>
          <w:sz w:val="24"/>
          <w:szCs w:val="24"/>
        </w:rPr>
        <w:t>The CX and OM are well opacified</w:t>
      </w:r>
      <w:r>
        <w:rPr>
          <w:bCs/>
          <w:sz w:val="24"/>
          <w:szCs w:val="24"/>
        </w:rPr>
        <w:t xml:space="preserve"> </w:t>
      </w:r>
      <w:r w:rsidRPr="00EA2053">
        <w:rPr>
          <w:bCs/>
          <w:sz w:val="24"/>
          <w:szCs w:val="24"/>
        </w:rPr>
        <w:t xml:space="preserve">appears normal in course and </w:t>
      </w:r>
      <w:proofErr w:type="spellStart"/>
      <w:proofErr w:type="gramStart"/>
      <w:r w:rsidRPr="00EA2053">
        <w:rPr>
          <w:bCs/>
          <w:sz w:val="24"/>
          <w:szCs w:val="24"/>
        </w:rPr>
        <w:t>calibre.No</w:t>
      </w:r>
      <w:proofErr w:type="spellEnd"/>
      <w:proofErr w:type="gramEnd"/>
      <w:r w:rsidRPr="00EA2053">
        <w:rPr>
          <w:bCs/>
          <w:sz w:val="24"/>
          <w:szCs w:val="24"/>
        </w:rPr>
        <w:t xml:space="preserve"> calcification is noted.</w:t>
      </w:r>
    </w:p>
    <w:p w:rsidR="00EA2053" w:rsidRDefault="00EA2053" w:rsidP="005D0262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EA2053">
        <w:rPr>
          <w:b/>
          <w:bCs/>
          <w:sz w:val="24"/>
          <w:szCs w:val="24"/>
          <w:u w:val="single"/>
        </w:rPr>
        <w:t>Right coronary artery</w:t>
      </w:r>
    </w:p>
    <w:p w:rsidR="00EA2053" w:rsidRDefault="00EA2053" w:rsidP="005D0262">
      <w:pPr>
        <w:spacing w:after="120" w:line="240" w:lineRule="auto"/>
        <w:rPr>
          <w:bCs/>
          <w:sz w:val="24"/>
          <w:szCs w:val="24"/>
        </w:rPr>
      </w:pPr>
      <w:r w:rsidRPr="00EA2053">
        <w:rPr>
          <w:bCs/>
          <w:sz w:val="24"/>
          <w:szCs w:val="24"/>
        </w:rPr>
        <w:t xml:space="preserve">RCA is well </w:t>
      </w:r>
      <w:proofErr w:type="spellStart"/>
      <w:proofErr w:type="gramStart"/>
      <w:r w:rsidRPr="00EA2053">
        <w:rPr>
          <w:bCs/>
          <w:sz w:val="24"/>
          <w:szCs w:val="24"/>
        </w:rPr>
        <w:t>opacified.shows</w:t>
      </w:r>
      <w:proofErr w:type="spellEnd"/>
      <w:proofErr w:type="gramEnd"/>
      <w:r w:rsidRPr="00EA2053">
        <w:rPr>
          <w:bCs/>
          <w:sz w:val="24"/>
          <w:szCs w:val="24"/>
        </w:rPr>
        <w:t xml:space="preserve"> normal </w:t>
      </w:r>
      <w:proofErr w:type="spellStart"/>
      <w:r w:rsidRPr="00EA2053">
        <w:rPr>
          <w:bCs/>
          <w:sz w:val="24"/>
          <w:szCs w:val="24"/>
        </w:rPr>
        <w:t>lumen.No</w:t>
      </w:r>
      <w:proofErr w:type="spellEnd"/>
      <w:r w:rsidRPr="00EA2053">
        <w:rPr>
          <w:bCs/>
          <w:sz w:val="24"/>
          <w:szCs w:val="24"/>
        </w:rPr>
        <w:t xml:space="preserve"> calcification is noted.</w:t>
      </w:r>
    </w:p>
    <w:p w:rsidR="0089166D" w:rsidRDefault="0089166D" w:rsidP="005D0262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PDA is seen arising from RCA and shows normal opacification.</w:t>
      </w:r>
    </w:p>
    <w:p w:rsidR="0089166D" w:rsidRDefault="0089166D" w:rsidP="005D0262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89166D">
        <w:rPr>
          <w:b/>
          <w:bCs/>
          <w:sz w:val="24"/>
          <w:szCs w:val="24"/>
          <w:u w:val="single"/>
        </w:rPr>
        <w:t>Collateral Findings</w:t>
      </w:r>
    </w:p>
    <w:p w:rsidR="0089166D" w:rsidRPr="0089166D" w:rsidRDefault="0089166D" w:rsidP="0089166D">
      <w:pPr>
        <w:pStyle w:val="ListParagraph"/>
        <w:numPr>
          <w:ilvl w:val="0"/>
          <w:numId w:val="5"/>
        </w:numPr>
        <w:spacing w:after="120" w:line="240" w:lineRule="auto"/>
        <w:rPr>
          <w:bCs/>
          <w:sz w:val="24"/>
          <w:szCs w:val="24"/>
        </w:rPr>
      </w:pPr>
      <w:r w:rsidRPr="0089166D">
        <w:rPr>
          <w:bCs/>
          <w:sz w:val="24"/>
          <w:szCs w:val="24"/>
        </w:rPr>
        <w:t xml:space="preserve">Ejection fraction is </w:t>
      </w:r>
      <w:proofErr w:type="gramStart"/>
      <w:r w:rsidRPr="0089166D">
        <w:rPr>
          <w:bCs/>
          <w:sz w:val="24"/>
          <w:szCs w:val="24"/>
        </w:rPr>
        <w:t>normal(</w:t>
      </w:r>
      <w:proofErr w:type="gramEnd"/>
      <w:r w:rsidRPr="0089166D">
        <w:rPr>
          <w:bCs/>
          <w:sz w:val="24"/>
          <w:szCs w:val="24"/>
        </w:rPr>
        <w:t>-----%)</w:t>
      </w:r>
    </w:p>
    <w:p w:rsidR="0089166D" w:rsidRPr="0089166D" w:rsidRDefault="0089166D" w:rsidP="0089166D">
      <w:pPr>
        <w:pStyle w:val="ListParagraph"/>
        <w:numPr>
          <w:ilvl w:val="0"/>
          <w:numId w:val="5"/>
        </w:numPr>
        <w:spacing w:after="120" w:line="240" w:lineRule="auto"/>
        <w:rPr>
          <w:bCs/>
          <w:sz w:val="24"/>
          <w:szCs w:val="24"/>
        </w:rPr>
      </w:pPr>
      <w:r w:rsidRPr="0089166D">
        <w:rPr>
          <w:bCs/>
          <w:sz w:val="24"/>
          <w:szCs w:val="24"/>
        </w:rPr>
        <w:t>Stroke volume is normal(----ml)</w:t>
      </w:r>
    </w:p>
    <w:p w:rsidR="0089166D" w:rsidRPr="0089166D" w:rsidRDefault="0089166D" w:rsidP="0089166D">
      <w:pPr>
        <w:pStyle w:val="ListParagraph"/>
        <w:numPr>
          <w:ilvl w:val="0"/>
          <w:numId w:val="5"/>
        </w:numPr>
        <w:spacing w:after="120" w:line="240" w:lineRule="auto"/>
        <w:rPr>
          <w:bCs/>
          <w:sz w:val="24"/>
          <w:szCs w:val="24"/>
        </w:rPr>
      </w:pPr>
      <w:r w:rsidRPr="0089166D">
        <w:rPr>
          <w:bCs/>
          <w:sz w:val="24"/>
          <w:szCs w:val="24"/>
        </w:rPr>
        <w:t>No wall motion abnormality is noted</w:t>
      </w:r>
    </w:p>
    <w:p w:rsidR="00EA2053" w:rsidRDefault="0089166D" w:rsidP="005D0262">
      <w:pPr>
        <w:spacing w:after="120" w:line="240" w:lineRule="auto"/>
        <w:rPr>
          <w:bCs/>
          <w:sz w:val="24"/>
          <w:szCs w:val="24"/>
        </w:rPr>
      </w:pPr>
      <w:r w:rsidRPr="0089166D">
        <w:rPr>
          <w:bCs/>
          <w:sz w:val="24"/>
          <w:szCs w:val="24"/>
        </w:rPr>
        <w:t xml:space="preserve">The </w:t>
      </w:r>
      <w:proofErr w:type="spellStart"/>
      <w:r w:rsidRPr="0089166D">
        <w:rPr>
          <w:bCs/>
          <w:sz w:val="24"/>
          <w:szCs w:val="24"/>
        </w:rPr>
        <w:t>visualised</w:t>
      </w:r>
      <w:proofErr w:type="spellEnd"/>
      <w:r w:rsidRPr="0089166D">
        <w:rPr>
          <w:bCs/>
          <w:sz w:val="24"/>
          <w:szCs w:val="24"/>
        </w:rPr>
        <w:t xml:space="preserve"> lung parenchyma and mediastinal vascular structures are normal.</w:t>
      </w:r>
    </w:p>
    <w:p w:rsidR="0089166D" w:rsidRDefault="0089166D" w:rsidP="005D0262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Pr="0089166D">
        <w:rPr>
          <w:b/>
          <w:bCs/>
          <w:sz w:val="24"/>
          <w:szCs w:val="24"/>
          <w:u w:val="single"/>
        </w:rPr>
        <w:t>onclusion</w:t>
      </w:r>
      <w:r>
        <w:rPr>
          <w:b/>
          <w:bCs/>
          <w:sz w:val="24"/>
          <w:szCs w:val="24"/>
          <w:u w:val="single"/>
        </w:rPr>
        <w:t>:</w:t>
      </w:r>
    </w:p>
    <w:p w:rsidR="0089166D" w:rsidRPr="0089166D" w:rsidRDefault="0089166D" w:rsidP="0089166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89166D">
        <w:rPr>
          <w:bCs/>
          <w:sz w:val="24"/>
          <w:szCs w:val="24"/>
        </w:rPr>
        <w:t>The coronary calcium score is 0</w:t>
      </w:r>
    </w:p>
    <w:p w:rsidR="0089166D" w:rsidRPr="0089166D" w:rsidRDefault="0089166D" w:rsidP="0089166D">
      <w:pPr>
        <w:pStyle w:val="ListParagraph"/>
        <w:numPr>
          <w:ilvl w:val="0"/>
          <w:numId w:val="6"/>
        </w:numPr>
        <w:spacing w:after="120" w:line="240" w:lineRule="auto"/>
        <w:rPr>
          <w:bCs/>
          <w:sz w:val="24"/>
          <w:szCs w:val="24"/>
        </w:rPr>
      </w:pPr>
      <w:r w:rsidRPr="0089166D">
        <w:rPr>
          <w:bCs/>
          <w:sz w:val="24"/>
          <w:szCs w:val="24"/>
        </w:rPr>
        <w:t>Normal coronary angiogram.</w:t>
      </w:r>
    </w:p>
    <w:p w:rsidR="0089166D" w:rsidRPr="0089166D" w:rsidRDefault="0089166D" w:rsidP="005D0262">
      <w:pPr>
        <w:spacing w:after="120" w:line="240" w:lineRule="auto"/>
        <w:rPr>
          <w:bCs/>
          <w:sz w:val="24"/>
          <w:szCs w:val="24"/>
        </w:rPr>
      </w:pPr>
      <w:r w:rsidRPr="0089166D">
        <w:rPr>
          <w:b/>
          <w:bCs/>
          <w:sz w:val="24"/>
          <w:szCs w:val="24"/>
        </w:rPr>
        <w:t>(</w:t>
      </w:r>
      <w:r w:rsidRPr="0089166D">
        <w:rPr>
          <w:bCs/>
          <w:sz w:val="24"/>
          <w:szCs w:val="24"/>
        </w:rPr>
        <w:t>Footnote:</w:t>
      </w:r>
      <w:r>
        <w:rPr>
          <w:bCs/>
          <w:sz w:val="24"/>
          <w:szCs w:val="24"/>
        </w:rPr>
        <w:t xml:space="preserve"> This is essentially a screening tool for coronary arteries .Most of the international studies give 99% negative predictive value for the </w:t>
      </w:r>
      <w:proofErr w:type="spellStart"/>
      <w:r>
        <w:rPr>
          <w:bCs/>
          <w:sz w:val="24"/>
          <w:szCs w:val="24"/>
        </w:rPr>
        <w:t>test.</w:t>
      </w:r>
      <w:r w:rsidR="007406DE">
        <w:rPr>
          <w:bCs/>
          <w:sz w:val="24"/>
          <w:szCs w:val="24"/>
        </w:rPr>
        <w:t>This</w:t>
      </w:r>
      <w:proofErr w:type="spellEnd"/>
      <w:r w:rsidR="007406DE">
        <w:rPr>
          <w:bCs/>
          <w:sz w:val="24"/>
          <w:szCs w:val="24"/>
        </w:rPr>
        <w:t xml:space="preserve"> means that when the study is </w:t>
      </w:r>
      <w:proofErr w:type="spellStart"/>
      <w:r w:rsidR="007406DE">
        <w:rPr>
          <w:bCs/>
          <w:sz w:val="24"/>
          <w:szCs w:val="24"/>
        </w:rPr>
        <w:t>normal,there</w:t>
      </w:r>
      <w:proofErr w:type="spellEnd"/>
      <w:r w:rsidR="007406DE">
        <w:rPr>
          <w:bCs/>
          <w:sz w:val="24"/>
          <w:szCs w:val="24"/>
        </w:rPr>
        <w:t xml:space="preserve"> is no likelihood of coronary artery </w:t>
      </w:r>
      <w:proofErr w:type="spellStart"/>
      <w:r w:rsidR="007406DE">
        <w:rPr>
          <w:bCs/>
          <w:sz w:val="24"/>
          <w:szCs w:val="24"/>
        </w:rPr>
        <w:t>disease.The</w:t>
      </w:r>
      <w:proofErr w:type="spellEnd"/>
      <w:r w:rsidR="007406DE">
        <w:rPr>
          <w:bCs/>
          <w:sz w:val="24"/>
          <w:szCs w:val="24"/>
        </w:rPr>
        <w:t xml:space="preserve"> imaging modality is heart rate </w:t>
      </w:r>
      <w:proofErr w:type="spellStart"/>
      <w:r w:rsidR="007406DE">
        <w:rPr>
          <w:bCs/>
          <w:sz w:val="24"/>
          <w:szCs w:val="24"/>
        </w:rPr>
        <w:t>dependent,Therefore</w:t>
      </w:r>
      <w:proofErr w:type="spellEnd"/>
      <w:r w:rsidR="007406DE">
        <w:rPr>
          <w:bCs/>
          <w:sz w:val="24"/>
          <w:szCs w:val="24"/>
        </w:rPr>
        <w:t xml:space="preserve"> high heart rate can give motion </w:t>
      </w:r>
      <w:proofErr w:type="spellStart"/>
      <w:r w:rsidR="007406DE">
        <w:rPr>
          <w:bCs/>
          <w:sz w:val="24"/>
          <w:szCs w:val="24"/>
        </w:rPr>
        <w:t>artifact.Occasional</w:t>
      </w:r>
      <w:proofErr w:type="spellEnd"/>
      <w:r w:rsidR="007406DE">
        <w:rPr>
          <w:bCs/>
          <w:sz w:val="24"/>
          <w:szCs w:val="24"/>
        </w:rPr>
        <w:t xml:space="preserve"> ventricular premature beats can also cause in assessable </w:t>
      </w:r>
      <w:proofErr w:type="spellStart"/>
      <w:r w:rsidR="007406DE">
        <w:rPr>
          <w:bCs/>
          <w:sz w:val="24"/>
          <w:szCs w:val="24"/>
        </w:rPr>
        <w:t>segment.The</w:t>
      </w:r>
      <w:proofErr w:type="spellEnd"/>
      <w:r w:rsidR="007406DE">
        <w:rPr>
          <w:bCs/>
          <w:sz w:val="24"/>
          <w:szCs w:val="24"/>
        </w:rPr>
        <w:t xml:space="preserve"> above findings need complete </w:t>
      </w:r>
      <w:proofErr w:type="spellStart"/>
      <w:r w:rsidR="007406DE">
        <w:rPr>
          <w:bCs/>
          <w:sz w:val="24"/>
          <w:szCs w:val="24"/>
        </w:rPr>
        <w:t>corelation</w:t>
      </w:r>
      <w:proofErr w:type="spellEnd"/>
      <w:r w:rsidR="007406DE">
        <w:rPr>
          <w:bCs/>
          <w:sz w:val="24"/>
          <w:szCs w:val="24"/>
        </w:rPr>
        <w:t xml:space="preserve"> with clinical findings and other investigations and if need be a catheter angiogram for its confirmation and further </w:t>
      </w:r>
      <w:proofErr w:type="spellStart"/>
      <w:r w:rsidR="007406DE">
        <w:rPr>
          <w:bCs/>
          <w:sz w:val="24"/>
          <w:szCs w:val="24"/>
        </w:rPr>
        <w:t>evaluation.Heavy</w:t>
      </w:r>
      <w:proofErr w:type="spellEnd"/>
      <w:r w:rsidR="007406DE">
        <w:rPr>
          <w:bCs/>
          <w:sz w:val="24"/>
          <w:szCs w:val="24"/>
        </w:rPr>
        <w:t xml:space="preserve"> calcification makes underlying lumen in assessable and possibility of underlying lumen being stenotic cannot be excluded. Instant stenosis cannot be excluded in distal and small </w:t>
      </w:r>
      <w:proofErr w:type="gramStart"/>
      <w:r w:rsidR="007406DE">
        <w:rPr>
          <w:bCs/>
          <w:sz w:val="24"/>
          <w:szCs w:val="24"/>
        </w:rPr>
        <w:t>stents(</w:t>
      </w:r>
      <w:proofErr w:type="gramEnd"/>
      <w:r w:rsidR="007406DE">
        <w:rPr>
          <w:bCs/>
          <w:sz w:val="24"/>
          <w:szCs w:val="24"/>
        </w:rPr>
        <w:t>less than 3 mm in diameter).)</w:t>
      </w:r>
    </w:p>
    <w:p w:rsidR="00EE751C" w:rsidRDefault="00EE751C" w:rsidP="00EE751C">
      <w:pPr>
        <w:spacing w:after="12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EE751C" w:rsidRDefault="00EE751C" w:rsidP="00EE751C">
      <w:pPr>
        <w:spacing w:after="120" w:line="240" w:lineRule="auto"/>
        <w:rPr>
          <w:b/>
          <w:bCs/>
          <w:sz w:val="24"/>
          <w:szCs w:val="24"/>
        </w:rPr>
      </w:pPr>
    </w:p>
    <w:p w:rsidR="005B4F21" w:rsidRPr="005B4F21" w:rsidRDefault="00EE751C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4F21">
        <w:rPr>
          <w:b/>
          <w:bCs/>
          <w:sz w:val="24"/>
          <w:szCs w:val="24"/>
        </w:rPr>
        <w:t xml:space="preserve"> </w:t>
      </w:r>
    </w:p>
    <w:sectPr w:rsidR="005B4F21" w:rsidRPr="005B4F21" w:rsidSect="007C6C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2B" w:rsidRDefault="003B4C2B" w:rsidP="005B4F21">
      <w:pPr>
        <w:spacing w:after="0" w:line="240" w:lineRule="auto"/>
      </w:pPr>
      <w:r>
        <w:separator/>
      </w:r>
    </w:p>
  </w:endnote>
  <w:endnote w:type="continuationSeparator" w:id="0">
    <w:p w:rsidR="003B4C2B" w:rsidRDefault="003B4C2B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2B" w:rsidRDefault="003B4C2B" w:rsidP="005B4F21">
      <w:pPr>
        <w:spacing w:after="0" w:line="240" w:lineRule="auto"/>
      </w:pPr>
      <w:r>
        <w:separator/>
      </w:r>
    </w:p>
  </w:footnote>
  <w:footnote w:type="continuationSeparator" w:id="0">
    <w:p w:rsidR="003B4C2B" w:rsidRDefault="003B4C2B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1204"/>
    <w:multiLevelType w:val="hybridMultilevel"/>
    <w:tmpl w:val="9676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2FE"/>
    <w:multiLevelType w:val="hybridMultilevel"/>
    <w:tmpl w:val="F01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B38"/>
    <w:multiLevelType w:val="hybridMultilevel"/>
    <w:tmpl w:val="D66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C2EAB"/>
    <w:multiLevelType w:val="hybridMultilevel"/>
    <w:tmpl w:val="38E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15CE"/>
    <w:multiLevelType w:val="hybridMultilevel"/>
    <w:tmpl w:val="6DF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75C0"/>
    <w:rsid w:val="00021868"/>
    <w:rsid w:val="000561D8"/>
    <w:rsid w:val="000B3DE8"/>
    <w:rsid w:val="000B680C"/>
    <w:rsid w:val="000C7CE3"/>
    <w:rsid w:val="00120C52"/>
    <w:rsid w:val="00130C35"/>
    <w:rsid w:val="0017203E"/>
    <w:rsid w:val="00185179"/>
    <w:rsid w:val="002514CA"/>
    <w:rsid w:val="002E4EE8"/>
    <w:rsid w:val="00325D69"/>
    <w:rsid w:val="00362BBE"/>
    <w:rsid w:val="003A4963"/>
    <w:rsid w:val="003B4C2B"/>
    <w:rsid w:val="003D3495"/>
    <w:rsid w:val="004B08BC"/>
    <w:rsid w:val="005668BB"/>
    <w:rsid w:val="00596005"/>
    <w:rsid w:val="005B4F21"/>
    <w:rsid w:val="005D0262"/>
    <w:rsid w:val="006363DE"/>
    <w:rsid w:val="006377CB"/>
    <w:rsid w:val="006544AD"/>
    <w:rsid w:val="006721F4"/>
    <w:rsid w:val="006D4FE5"/>
    <w:rsid w:val="007406DE"/>
    <w:rsid w:val="007C6CFF"/>
    <w:rsid w:val="007E629F"/>
    <w:rsid w:val="00846DE5"/>
    <w:rsid w:val="0085256E"/>
    <w:rsid w:val="0089166D"/>
    <w:rsid w:val="008D1134"/>
    <w:rsid w:val="0090546B"/>
    <w:rsid w:val="00984FED"/>
    <w:rsid w:val="009D2690"/>
    <w:rsid w:val="00A92603"/>
    <w:rsid w:val="00AC0514"/>
    <w:rsid w:val="00B27C17"/>
    <w:rsid w:val="00B972CE"/>
    <w:rsid w:val="00BE4E48"/>
    <w:rsid w:val="00BF1F3E"/>
    <w:rsid w:val="00C101D3"/>
    <w:rsid w:val="00C321E9"/>
    <w:rsid w:val="00C73338"/>
    <w:rsid w:val="00C81920"/>
    <w:rsid w:val="00C95BE8"/>
    <w:rsid w:val="00C970E6"/>
    <w:rsid w:val="00CD41B8"/>
    <w:rsid w:val="00CF075F"/>
    <w:rsid w:val="00D13ECF"/>
    <w:rsid w:val="00D23AD0"/>
    <w:rsid w:val="00DD00E6"/>
    <w:rsid w:val="00DE5C4C"/>
    <w:rsid w:val="00E06B10"/>
    <w:rsid w:val="00EA2053"/>
    <w:rsid w:val="00EE116B"/>
    <w:rsid w:val="00EE2491"/>
    <w:rsid w:val="00EE751C"/>
    <w:rsid w:val="00F96C2F"/>
    <w:rsid w:val="00FE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2CB1"/>
  <w15:docId w15:val="{344796A3-A393-4930-9F21-B8C2DD62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7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62</cp:revision>
  <dcterms:created xsi:type="dcterms:W3CDTF">2017-10-04T04:27:00Z</dcterms:created>
  <dcterms:modified xsi:type="dcterms:W3CDTF">2018-01-09T09:06:00Z</dcterms:modified>
</cp:coreProperties>
</file>